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0D" w:rsidRDefault="00AD270D" w:rsidP="00AD270D">
      <w:pPr>
        <w:shd w:val="clear" w:color="auto" w:fill="EEEEEE"/>
        <w:jc w:val="center"/>
        <w:rPr>
          <w:rFonts w:ascii="Tahoma" w:hAnsi="Tahoma" w:cs="Tahoma"/>
          <w:b/>
          <w:bCs/>
          <w:color w:val="000000"/>
          <w:sz w:val="18"/>
          <w:szCs w:val="18"/>
        </w:rPr>
      </w:pPr>
      <w:r>
        <w:rPr>
          <w:rFonts w:ascii="Tahoma" w:hAnsi="Tahoma" w:cs="Tahoma"/>
          <w:b/>
          <w:bCs/>
          <w:color w:val="000000"/>
          <w:sz w:val="18"/>
          <w:szCs w:val="18"/>
        </w:rPr>
        <w:t>проект посановления Об утверждении административного регламента по предоставлению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АДМИНИСТРАЦИЯ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ОЗЕРСКОГО СЕЛЬСОВЕТА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ЩИГРОВСКОГО РАЙОНА КУРСКОЙ ОБЛАСТИ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ПОСТАНОВЛЕНИЕ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проект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Об утверждении  административного регламента по предоставлению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«Озерский сельсовет» Щигровского района Курской области, Администрация Озерского сельсовета Щигровского района постановляет: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1.Утвердить  административный регламент по предоставлению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Контроль за выполнением настоящего постановления возложить на заместителя Главы администрации Озерского сельсовета Малыхину Л.В.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Постановление  вступает  в силу  со  дня  его обнародования.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Озерского сельсовета                                                        Ю, А. Бартенев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Озерского сельсовета Щигровского района Курской области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Административный регламент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numPr>
          <w:ilvl w:val="0"/>
          <w:numId w:val="3"/>
        </w:numPr>
        <w:shd w:val="clear" w:color="auto" w:fill="EEEEEE"/>
        <w:spacing w:after="0" w:line="240" w:lineRule="auto"/>
        <w:ind w:left="0"/>
        <w:rPr>
          <w:rFonts w:ascii="Tahoma" w:hAnsi="Tahoma" w:cs="Tahoma"/>
          <w:color w:val="000000"/>
          <w:sz w:val="15"/>
          <w:szCs w:val="15"/>
        </w:rPr>
      </w:pPr>
      <w:r>
        <w:rPr>
          <w:rStyle w:val="a7"/>
          <w:rFonts w:ascii="Tahoma" w:hAnsi="Tahoma" w:cs="Tahoma"/>
          <w:color w:val="000000"/>
          <w:sz w:val="15"/>
          <w:szCs w:val="15"/>
        </w:rPr>
        <w:t>1.      Общие положения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1.1.      Предмет регулирования административного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Административный регламент предоставления муниципальной услуги </w:t>
      </w:r>
      <w:r>
        <w:rPr>
          <w:rStyle w:val="a7"/>
          <w:rFonts w:ascii="Tahoma" w:hAnsi="Tahoma" w:cs="Tahoma"/>
          <w:color w:val="000000"/>
          <w:sz w:val="15"/>
          <w:szCs w:val="15"/>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Pr>
          <w:rFonts w:ascii="Tahoma" w:hAnsi="Tahoma" w:cs="Tahoma"/>
          <w:color w:val="000000"/>
          <w:sz w:val="15"/>
          <w:szCs w:val="15"/>
        </w:rPr>
        <w:t>(далее по тексту – услуга).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Настоящий административный регламент распространяется на отношения, возникающие при перераспределении земель и (или) земельных участков, находящихся в муниципальной собственности сельского поселения.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1.2. Круг заявителей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 Требования к порядку информирования о предоставлении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публичное информирование (средства массовой информации, сеть «Интернет»).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устное информирование осуществляется специалистами Администрации Озерского сельсовета Щигровского района(далее - Администрация)  при обращении заявителей за информацией лично (в том числе по телефону).</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индивидуального устного информирования (в том числе по телефону) заявителя не может превышать 10 минут.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ответах на телефонные звонки и устные обращения специалисты соблюдают  правила служебной этики.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Письменное, индивидуальное информирование осуществляется в письменной форме за подписью Главы Озерского сельсовета Щигровского района.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Едином портале можно получить информацию о (об):</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круге заявителей;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сроке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результате предоставления муниципальной услуги, порядке выдачи результата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исчерпывающем перечне  оснований для приостановления или отказа в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формы заявлений (уведомлений, сообщений), используемые при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об услуге предоставляется бесплатно.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информационных стендах в помещении, предназначенном для предоставления муниципальной услуги размещается следующая информация: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перечни документов, необходимых для предоставления муниципальной услуги, и требования, предъявляемые  к этим документам;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обжалования решения, действий или бездействия должностных лиц, предоставляющих муниципальную услугу;</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отказа в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приостановления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информирования о ходе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получения консультаций;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образцы оформления документов, необходимых для предоставления муниципальной услуги, и требования к ним.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7"/>
          <w:rFonts w:ascii="Tahoma" w:hAnsi="Tahoma" w:cs="Tahoma"/>
          <w:color w:val="000000"/>
          <w:sz w:val="15"/>
          <w:szCs w:val="15"/>
        </w:rPr>
        <w:t>;</w:t>
      </w:r>
      <w:r>
        <w:rPr>
          <w:rFonts w:ascii="Tahoma" w:hAnsi="Tahoma" w:cs="Tahoma"/>
          <w:color w:val="000000"/>
          <w:sz w:val="15"/>
          <w:szCs w:val="15"/>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Pr>
            <w:rStyle w:val="a3"/>
            <w:rFonts w:ascii="Tahoma" w:hAnsi="Tahoma" w:cs="Tahoma"/>
            <w:color w:val="33A6E3"/>
            <w:sz w:val="15"/>
            <w:szCs w:val="15"/>
          </w:rPr>
          <w:t>http://www.Ozorsk.rkursk.ru</w:t>
        </w:r>
      </w:hyperlink>
      <w:r>
        <w:rPr>
          <w:rFonts w:ascii="Tahoma" w:hAnsi="Tahoma" w:cs="Tahoma"/>
          <w:color w:val="000000"/>
          <w:sz w:val="15"/>
          <w:szCs w:val="15"/>
        </w:rPr>
        <w:t>, и  на Едином портале </w:t>
      </w:r>
      <w:hyperlink r:id="rId6" w:history="1">
        <w:r>
          <w:rPr>
            <w:rStyle w:val="a3"/>
            <w:rFonts w:ascii="Tahoma" w:hAnsi="Tahoma" w:cs="Tahoma"/>
            <w:color w:val="33A6E3"/>
            <w:sz w:val="15"/>
            <w:szCs w:val="15"/>
          </w:rPr>
          <w:t>https://www.gosuslugi.ru.»</w:t>
        </w:r>
      </w:hyperlink>
      <w:r>
        <w:rPr>
          <w:rFonts w:ascii="Tahoma" w:hAnsi="Tahoma" w:cs="Tahoma"/>
          <w:color w:val="000000"/>
          <w:sz w:val="15"/>
          <w:szCs w:val="15"/>
        </w:rPr>
        <w:t>.</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4"/>
        <w:shd w:val="clear" w:color="auto" w:fill="EEEEEE"/>
        <w:spacing w:before="0"/>
        <w:rPr>
          <w:rFonts w:ascii="Tahoma" w:hAnsi="Tahoma" w:cs="Tahoma"/>
          <w:color w:val="000000"/>
          <w:sz w:val="24"/>
          <w:szCs w:val="24"/>
        </w:rPr>
      </w:pPr>
      <w:r>
        <w:rPr>
          <w:rFonts w:ascii="Tahoma" w:hAnsi="Tahoma" w:cs="Tahoma"/>
          <w:color w:val="000000"/>
        </w:rPr>
        <w:t>II. Стандарт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4"/>
        <w:shd w:val="clear" w:color="auto" w:fill="EEEEEE"/>
        <w:spacing w:before="0"/>
        <w:rPr>
          <w:rFonts w:ascii="Tahoma" w:hAnsi="Tahoma" w:cs="Tahoma"/>
          <w:color w:val="000000"/>
          <w:sz w:val="24"/>
          <w:szCs w:val="24"/>
        </w:rPr>
      </w:pPr>
      <w:r>
        <w:rPr>
          <w:rStyle w:val="a7"/>
          <w:rFonts w:ascii="Tahoma" w:hAnsi="Tahoma" w:cs="Tahoma"/>
          <w:b/>
          <w:bCs/>
          <w:color w:val="000000"/>
        </w:rPr>
        <w:t>2.1.         Наименование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4"/>
        <w:shd w:val="clear" w:color="auto" w:fill="EEEEEE"/>
        <w:spacing w:before="0"/>
        <w:rPr>
          <w:rFonts w:ascii="Tahoma" w:hAnsi="Tahoma" w:cs="Tahoma"/>
          <w:color w:val="000000"/>
          <w:sz w:val="24"/>
          <w:szCs w:val="24"/>
        </w:rPr>
      </w:pPr>
      <w:r>
        <w:rPr>
          <w:rStyle w:val="a7"/>
          <w:rFonts w:ascii="Tahoma" w:hAnsi="Tahoma" w:cs="Tahoma"/>
          <w:b/>
          <w:bCs/>
          <w:color w:val="000000"/>
        </w:rPr>
        <w:lastRenderedPageBreak/>
        <w:t>2.2.Наименование органа местного самоуправления, предоставляющего муниципальную услугу</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Муниципальная услуга предоставляется: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Администрацией Озерского сельсовета Щигровского района – в части перераспределения земель и (или) земельных участков, находящихся в муниципальной собственности.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В предоставлении муниципальной услуги участвуют: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Федеральной налоговой службы по Курской области;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автономное учреждение Курской области «Многофункциональный центр по предоставлению государственных и муниципальных услуг» (далее - МФЦ).</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2.3. Описание результата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предоставления муниципальной услуги являются: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решение об утверждении схемы расположения земельного участка;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решение об отказе в заключении соглашения о перераспределении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2.4. Срок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2.4.1.Общий срок предоставления муниципальной услуги не более 30  дней со дня поступления заявления о перераспределении земельного участка без учета времени: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обеспечения заинтересованным лицом выполнения кадастровых работ;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государственного кадастрового учета;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ожидания подписания заявителем соглашения о перераспределении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ФЗ от 25.10.2001г. №137-ФЗ, срок может быть продлен, но не более чем до 45 дней со дня поступления заявления о перераспределении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продлении срока рассмотрения указанного заявления Администрация уведомляет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2.4.3. В течение десяти дней со дня поступления заявления о перераспределении земельного участка Администрация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2.4.4. Срок выдачи результата муниципальной услуги 1 рабочий день.</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2.5. Нормативные правовые акты, регулирующие предоставление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www.Ozorsk.rkursk.ru   в сети «Интернет», а также  на  Едином порталеhttps://www.gosuslugi.ru.</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2.6.1.В заявлении о перераспределении земельных участков указываются: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фамилия, имя и (при наличии) отчество, место жительства заявителя, реквизиты документа, удостоверяющего личность заявителя (для гражданина);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кадастровый номер земельного участка или кадастровые номера земельных участков, перераспределение которых планируется осуществить;</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почтовый адрес и (или) адрес электронной почты для связи с заявителем.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2.6.2. К заявлению о перераспределении земельных участков прилагаются: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копия свидетельства о постановке на учет в налоговом органе юридического лица или индивидуального предпринимателя;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 кадастровый паспорт земельного участка или кадастровые паспорта земельных участков, перераспределение которых планируется осуществить;</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Выписка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если право собственности зарегистрировано в Едином государственном реестре недвижимости;</w:t>
      </w:r>
    </w:p>
    <w:p w:rsidR="00AD270D" w:rsidRDefault="00AD270D" w:rsidP="00AD270D">
      <w:pPr>
        <w:pStyle w:val="a6"/>
        <w:shd w:val="clear" w:color="auto" w:fill="EEEEEE"/>
        <w:spacing w:before="0" w:beforeAutospacing="0" w:after="240" w:afterAutospacing="0"/>
        <w:jc w:val="both"/>
        <w:rPr>
          <w:rFonts w:ascii="Tahoma" w:hAnsi="Tahoma" w:cs="Tahoma"/>
          <w:color w:val="000000"/>
          <w:sz w:val="15"/>
          <w:szCs w:val="15"/>
        </w:rPr>
      </w:pPr>
      <w:r>
        <w:rPr>
          <w:rFonts w:ascii="Tahoma" w:hAnsi="Tahoma" w:cs="Tahoma"/>
          <w:color w:val="000000"/>
          <w:sz w:val="15"/>
          <w:szCs w:val="15"/>
        </w:rPr>
        <w:t>4) Проект межевания территории или кадастровый план территории.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2.7.2. Запрещено требовать от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2.8. Указание на запрет требовать от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2.8.1. Не допускается требовать от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Pr>
            <w:rStyle w:val="a3"/>
            <w:rFonts w:ascii="Tahoma" w:hAnsi="Tahoma" w:cs="Tahoma"/>
            <w:color w:val="33A6E3"/>
            <w:sz w:val="15"/>
            <w:szCs w:val="15"/>
          </w:rPr>
          <w:t>части 1 статьи 9</w:t>
        </w:r>
      </w:hyperlink>
      <w:r>
        <w:rPr>
          <w:rFonts w:ascii="Tahoma" w:hAnsi="Tahoma" w:cs="Tahoma"/>
          <w:color w:val="000000"/>
          <w:sz w:val="15"/>
          <w:szCs w:val="15"/>
        </w:rPr>
        <w:t> Федерального закона от 27 июля 2010 г. № 210-ФЗ, и получения документов и информации, предоставляемых в результате предоставления таких услуг;</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2.9. Исчерпывающий перечень оснований для отказа в приеме документов, необходимых для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Оснований для отказа в приеме документов законодательством Российской Федерации не предусмотрено.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сельского поселения.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2.10.2. Основаниями для отказа в предоставлении муниципальной услуги являются: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о перераспределении земельных участков подано в случаях, не предусмотренных пунктом 1 статьи 39.28 Земельного кодекса РФ;</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обременены правами указанных лиц;</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-на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w:t>
      </w:r>
      <w:r>
        <w:rPr>
          <w:rFonts w:ascii="Tahoma" w:hAnsi="Tahoma" w:cs="Tahoma"/>
          <w:color w:val="000000"/>
          <w:sz w:val="15"/>
          <w:szCs w:val="15"/>
        </w:rPr>
        <w:lastRenderedPageBreak/>
        <w:t>(в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 зарезервированных для  муниципальных нужд;</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-образование земельного участка или земельных участков предусматривается путем перераспределения земель и (или) земельных участков, находящегося в  частной собственности, и земель и (или) земельных участков, находящихся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-границы земельного участка, находящегося в частной собственности, подлежат уточнению в соответствии с </w:t>
      </w:r>
      <w:hyperlink r:id="rId8" w:history="1">
        <w:r>
          <w:rPr>
            <w:rStyle w:val="a3"/>
            <w:rFonts w:ascii="Tahoma" w:hAnsi="Tahoma" w:cs="Tahoma"/>
            <w:color w:val="33A6E3"/>
            <w:sz w:val="15"/>
            <w:szCs w:val="15"/>
          </w:rPr>
          <w:t>Федеральным законом</w:t>
        </w:r>
      </w:hyperlink>
      <w:r>
        <w:rPr>
          <w:rFonts w:ascii="Tahoma" w:hAnsi="Tahoma" w:cs="Tahoma"/>
          <w:color w:val="000000"/>
          <w:sz w:val="15"/>
          <w:szCs w:val="15"/>
        </w:rPr>
        <w:t>«О кадастровой деятельности»;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2.12. Порядок, размер и основания взимания государственной пошлины или иной платы, взимаемой за предоставление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предоставляется бесплатно.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Pr>
          <w:rFonts w:ascii="Tahoma" w:hAnsi="Tahoma" w:cs="Tahoma"/>
          <w:b/>
          <w:bCs/>
          <w:color w:val="000000"/>
          <w:sz w:val="15"/>
          <w:szCs w:val="15"/>
        </w:rPr>
        <w:br/>
      </w:r>
      <w:r>
        <w:rPr>
          <w:rStyle w:val="a7"/>
          <w:rFonts w:ascii="Tahoma" w:hAnsi="Tahoma" w:cs="Tahoma"/>
          <w:color w:val="000000"/>
          <w:sz w:val="15"/>
          <w:szCs w:val="15"/>
        </w:rPr>
        <w:t>о методике расчета размера такой платы</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4"/>
        <w:shd w:val="clear" w:color="auto" w:fill="EEEEEE"/>
        <w:spacing w:before="0"/>
        <w:rPr>
          <w:rFonts w:ascii="Tahoma" w:hAnsi="Tahoma" w:cs="Tahoma"/>
          <w:color w:val="000000"/>
          <w:sz w:val="24"/>
          <w:szCs w:val="24"/>
        </w:rPr>
      </w:pPr>
      <w:r>
        <w:rPr>
          <w:rStyle w:val="a7"/>
          <w:rFonts w:ascii="Tahoma" w:hAnsi="Tahoma" w:cs="Tahoma"/>
          <w:b/>
          <w:bCs/>
          <w:color w:val="000000"/>
        </w:rPr>
        <w:t>2.15. Срок регистрации запроса заявителя о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2.15.1. При непосредственном обращении заявителя лично, максимальный срок регистрации заявления – 15 минут.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проверяет (сличает) документы согласно представленной описи;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ставит на экземпляр заявления заявителя (при наличии) отметку с номером и датой регистрации заявления;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сообщает заявителю о предварительной дате выдачи результата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ожидания заявителей оборудуются стульями и (или) кресельными секциями, и (или) скамьями.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2.16.3. Обеспечение доступности для инвалидов.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обеспечивает доступность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входа в помещение  и выхода из него;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и оказание им помощи;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содействие со стороны должностных лиц, при необходимости, инвалиду при входе в объект и выходе из него;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на прилегающих к зданию территориях мест для парковки автотранспортных средств инвалидов;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по территории объекта;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инструктажа должностных лиц, осуществляющих первичный контакт с получателями услуги, по вопросам работы с инвалидами;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сурдопереводчика и тифлосурдопереводчика;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при необходимости, услуги по месту жительства инвалида или в дистанционном режиме;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Показатели доступности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транспортная или пешая доступность к местам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обращения за предоставлением муниципальной услуги, в том числе для лиц с ограниченными возможностями здоровья;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Показатели качества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полнота и актуальность информации о порядке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взаимодействий заявителя с должностными лицами при предоставлении муниципальной услугии их продолжительность;</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очередей при приеме и выдаче документов заявителям;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обоснованных жалоб на действия (бездействие) специалистов и уполномоченных должностных лиц;</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жалоб на некорректное, невнимательное отношение специалистов и уполномоченных должностных лиц к заявителям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2.18.  Иные требования, в том числе учитывающие особенности предоставления муниципальной услуги в электронной форме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в электронной форме в настоящее время не предоставляется.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III. Состав, последовательность и сроки выполнения административных процедур (действий), требования к порядку их выполнения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Предоставление муниципальной услуги включает в себя следующие административные процедуры:</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прием и рассмотрение заявления и документов, необходимых</w:t>
      </w:r>
      <w:r>
        <w:rPr>
          <w:rFonts w:ascii="Tahoma" w:hAnsi="Tahoma" w:cs="Tahoma"/>
          <w:color w:val="000000"/>
          <w:sz w:val="15"/>
          <w:szCs w:val="15"/>
        </w:rPr>
        <w:br/>
        <w:t>для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формирование и направление межведомственных запросов в органы и организации,  участвующие в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выдача (направление)  заявителю результата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порядок исправления допущенных опечаток и ошибок в выданных в результате предоставления  муниципальной услуги документах.</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3.2. Прием, регистрация,  заявления и приложенных к нему документов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 Основанием для начала административной процедуры является поступление в Администрацию заявления (в том числе поступившего из МФЦ) и приложенных к нему документов.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ходе приема заявления и прилагаемых к нему документов специалист осуществляет их проверку на: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оформление заявления в соответствии с требованиями пункта 2.6.1 настоящего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комплектность представленных документов в соответствии с пунктом 2.6.2. настоящего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в заявлении и прилагаемых к заявлению документах записей, выполненных карандашом.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3.2.2При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имеются основания для возврата заявления, специалист Администрации в течение двух дней готовит уведомление о возврате заявления.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Подготовленное уведомление   направляется на подписание Главе Администрации.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3.2.3.Максимальный срок выполнения административного действия -</w:t>
      </w:r>
      <w:r>
        <w:rPr>
          <w:rFonts w:ascii="Tahoma" w:hAnsi="Tahoma" w:cs="Tahoma"/>
          <w:color w:val="000000"/>
          <w:sz w:val="15"/>
          <w:szCs w:val="15"/>
        </w:rPr>
        <w:br/>
        <w:t>1 рабочий день</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Критерием принятия решения является обращение  заявителя за получением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 Результатом  административной процедуры является прием заявления и прилагаемых документов у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3.2.6.  Способом фиксации  результата  выполнения административной процедуры является регистрация заявления и прилагаемых документов  в Журнале регистрации заявлений.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3.3. Формирование и направление межведомственных запросов в органы, участвующие в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Pr>
            <w:rStyle w:val="a3"/>
            <w:rFonts w:ascii="Tahoma" w:hAnsi="Tahoma" w:cs="Tahoma"/>
            <w:color w:val="33A6E3"/>
            <w:sz w:val="15"/>
            <w:szCs w:val="15"/>
          </w:rPr>
          <w:t>законодательства</w:t>
        </w:r>
      </w:hyperlink>
      <w:r>
        <w:rPr>
          <w:rFonts w:ascii="Tahoma" w:hAnsi="Tahoma" w:cs="Tahoma"/>
          <w:color w:val="000000"/>
          <w:sz w:val="15"/>
          <w:szCs w:val="15"/>
        </w:rPr>
        <w:t> Российской Федерации о защите персональных данных.</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3.3.4. Максимальный срок подготовки и направления ответа на  межведомственный запрос  не может превышать пять рабочих дней.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3.3.5.  Ответ на запрос  регистрируется в установленном порядке.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3.3.6. Ответственный исполнитель приобщает ответ, полученный по межведомственному запросу к документам, представленным заявителем.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3.3.7. Максимальный срок выполнения административной процедуры -  7 рабочих дней.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3.3.8. Критерием принятия решения  является отсутствие документов,  указанных в  подразделе 2.7. настоящего Административного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3.3.9.  Результат административной процедуры – получение ответов на межведомственные запросы.</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3.4.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 Основанием для начала административной процедуры является поступление документов исполнителю..</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3.4.2.Исполнитель, рассмотрев документы, устанавливает наличие или отсутствие оснований для возврата заявителю заявления, предусмотренных пунктом 2.10 регламента.</w:t>
      </w:r>
      <w:r>
        <w:rPr>
          <w:rFonts w:ascii="Tahoma" w:hAnsi="Tahoma" w:cs="Tahoma"/>
          <w:color w:val="000000"/>
          <w:sz w:val="15"/>
          <w:szCs w:val="15"/>
        </w:rPr>
        <w:br/>
        <w:t>            3.4.3.При наличии оснований для возврата заявления исполнитель подготавливает проект уведомления о возврате заявления  и направляет заявителю одним из способов, указанных в заявлении, не позднее чем в десятидневный срок со дня подачи заявления и документов.Решение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3.4.4.При отсутствии оснований для возврата заявления специалист, ответственный за предоставление муниципальной услуги,  осуществляет подготовку проекта решения о возможности (невозможности) заключения соглашения о перераспределении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b/>
          <w:bCs/>
          <w:color w:val="000000"/>
          <w:sz w:val="15"/>
          <w:szCs w:val="15"/>
          <w:u w:val="single"/>
        </w:rPr>
        <w:t>В случае, если земельный участок не образован:</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w:t>
      </w:r>
      <w:r>
        <w:rPr>
          <w:rFonts w:ascii="Tahoma" w:hAnsi="Tahoma" w:cs="Tahoma"/>
          <w:color w:val="000000"/>
          <w:sz w:val="15"/>
          <w:szCs w:val="15"/>
        </w:rPr>
        <w:lastRenderedPageBreak/>
        <w:t>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b/>
          <w:bCs/>
          <w:color w:val="000000"/>
          <w:sz w:val="15"/>
          <w:szCs w:val="15"/>
          <w:u w:val="single"/>
        </w:rPr>
        <w:t>В случае, если земельный участок  образован:</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 в течение 3 дней со дня предоставления полного пакета документов, указанного в п. 2.6.1, 2.7.1. подготавливает проект согласия на  заключении соглашения о перераспределении земельных участков в соответствии с утвержденным проектом межевания территории.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3.4.5.Проект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w:t>
      </w:r>
      <w:r>
        <w:rPr>
          <w:rFonts w:ascii="Tahoma" w:hAnsi="Tahoma" w:cs="Tahoma"/>
          <w:color w:val="000000"/>
          <w:sz w:val="15"/>
          <w:szCs w:val="15"/>
        </w:rPr>
        <w:br/>
        <w:t>         3.4.6. 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подпись главе Озерского сельсовета.</w:t>
      </w:r>
      <w:r>
        <w:rPr>
          <w:rFonts w:ascii="Tahoma" w:hAnsi="Tahoma" w:cs="Tahoma"/>
          <w:color w:val="000000"/>
          <w:sz w:val="15"/>
          <w:szCs w:val="15"/>
        </w:rPr>
        <w:br/>
        <w:t>            3.4.7.Подписанный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w:t>
      </w:r>
      <w:r>
        <w:rPr>
          <w:rFonts w:ascii="Tahoma" w:hAnsi="Tahoma" w:cs="Tahoma"/>
          <w:color w:val="000000"/>
          <w:sz w:val="15"/>
          <w:szCs w:val="15"/>
          <w:u w:val="single"/>
        </w:rPr>
        <w:t>в течение 30 дней</w:t>
      </w:r>
      <w:r>
        <w:rPr>
          <w:rFonts w:ascii="Tahoma" w:hAnsi="Tahoma" w:cs="Tahoma"/>
          <w:color w:val="000000"/>
          <w:sz w:val="15"/>
          <w:szCs w:val="15"/>
        </w:rPr>
        <w:t> со дня получения заявителем проектов соглашения о перераспределении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3.4.8. Критерием принятия решения является наличие (отсутствие) оснований для отказа в подготовке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3.4.9. Результатом административной процедуры являются оформленные решения Администрации Озерского сельсовета Щигровского района</w:t>
      </w: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3.4.10. Способом фиксации результата выполнения административной процедуры является регистрация  решений в Журнале регистрации постановлений.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3.4.11. Максимальный срок выполнения административной процедуры -  20 рабочих дней.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3.5. Выдача (направление)  заявителю результата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3.5.1.Основанием для начала административной процедуры является подготовленный проект постановления  об утверждении схемы расположения земельного участка либо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территории,или проект постановления администрации об отказе в заключении соглашения о перераспределении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выдачи  результата  предоставления  муниципальной услуги при личном приеме, ответственный специалист,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3.5.3.В случае, если имеются основания для отказа в перераспределении земельного участка специалист готовит уведомление об отказе в перераспределении земельного участка лицу, обратившемуся с заявлением о перераспределении земельного участка.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Уведомление подлежит согласованию и выдается заявителю или направляется ему по адресу, содержащемуся в его заявлении о предоставлении муниципальной услуге.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3.5.4.Критерий принятия решения - наличие оформленного результата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3.5.5.Результат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решение об утверждении схемы расположения земельного участка;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решение об отказе в заключении соглашения о перераспределении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3.5.6. Способом фиксации результата выполнения административной процедуры является запись в Журнале регистрации исходящей документации.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3.5.7. Максимальный срок выполнения действия составляет 2 рабочих  дня.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3.6.  Порядок исправления допущенных опечаток и ошибок в выданных в результате предоставления  муниципальной услуги документах.</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3.6.5. Способ фиксации результата выполнения административной процедуры  – регистрация в Журнале исходящей документации.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IV. Формы  контроля за исполнением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Озерского сельсовета Щигровского района;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заместитель Главы Администрации Озерского сельсовета Щигровского  района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Периодичность осуществления текущего контроля устанавливается распоряжением Администрации.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5.2. Предмет жалобы</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может обратиться с жалобой, в том числе в следующих случаях:</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нарушение срока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нарушение срока или порядка выдачи документов по результатам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w:t>
      </w:r>
      <w:r>
        <w:rPr>
          <w:rFonts w:ascii="Tahoma" w:hAnsi="Tahoma" w:cs="Tahoma"/>
          <w:color w:val="000000"/>
          <w:sz w:val="15"/>
          <w:szCs w:val="15"/>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может быть направлена 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Администрацию Озерского сельсовета Щигровского района,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рассматривают:</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Администрации - Глава Озерского сельсовета;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5.4. Порядок подачи  и  рассмотрения жалобы</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5.4.1. Жалоба подается в письменной форме на бумажном носителе, в электронной форме в Администрацию, предоставляющую муниципальную услугу.</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5.4.4. Жалоба должна содержать:</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5.5. Сроки рассмотрения жалобы</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7"/>
          <w:rFonts w:ascii="Tahoma" w:hAnsi="Tahoma" w:cs="Tahoma"/>
          <w:color w:val="000000"/>
          <w:sz w:val="15"/>
          <w:szCs w:val="15"/>
        </w:rPr>
        <w:t>5.6. Способы информирования заявителей о порядке подачи и рассмотрения жалобы, в том числе с использованием Единого портала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от 27.07.2010 № 210-ФЗ «Об организации предоставления государственных и муниципальных услуг»;</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указанная в данном разделе, размещена  на  Едином портале </w:t>
      </w:r>
      <w:hyperlink r:id="rId10" w:history="1">
        <w:r>
          <w:rPr>
            <w:rStyle w:val="a3"/>
            <w:rFonts w:ascii="Tahoma" w:hAnsi="Tahoma" w:cs="Tahoma"/>
            <w:color w:val="33A6E3"/>
            <w:sz w:val="15"/>
            <w:szCs w:val="15"/>
          </w:rPr>
          <w:t>https://www.gosuslugi.ru/</w:t>
        </w:r>
      </w:hyperlink>
      <w:r>
        <w:rPr>
          <w:rFonts w:ascii="Tahoma" w:hAnsi="Tahoma" w:cs="Tahoma"/>
          <w:color w:val="000000"/>
          <w:sz w:val="15"/>
          <w:szCs w:val="15"/>
        </w:rPr>
        <w:t>.</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VI. Особенности выполнения административных процедур (действий) в многофункциональных центрах предоставления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государственных и муниципальных услуг</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В случае предоставления земельного участка без проведения торгов заявитель может обратиться за получением   муниципальной  услуги  в МФЦ.</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 Взаимодействие МФЦ с Администрацией осуществляется в соответствии соглашением о взаимодействии  между МФЦ и Администрацией.</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6.6. При получении заявления  работник МФЦ:</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6.7. При реализации своих функций многофункциональные центры не вправе требовать от заявителя: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6.8.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6.9. Результат муниципальной услуги в МФЦ не выдается.</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6.10. Критерием принятия решения является обращение заявителя за получением  муниципальной услуги в МФЦ.</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6.11. Результатом административной процедуры является   передача  заявления и документов, из МФЦ в Администрацию.</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Администрацию Озерского сельсовета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Щигровского района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 и (или) адрес электронной почты для связи с заявителем)</w:t>
      </w:r>
    </w:p>
    <w:p w:rsidR="00AD270D" w:rsidRDefault="00AD270D" w:rsidP="00AD270D">
      <w:pPr>
        <w:pStyle w:val="2"/>
        <w:shd w:val="clear" w:color="auto" w:fill="EEEEEE"/>
        <w:rPr>
          <w:rFonts w:ascii="Tahoma" w:hAnsi="Tahoma" w:cs="Tahoma"/>
          <w:color w:val="000000"/>
          <w:sz w:val="36"/>
          <w:szCs w:val="36"/>
        </w:rPr>
      </w:pPr>
      <w:r>
        <w:rPr>
          <w:rFonts w:ascii="Tahoma" w:hAnsi="Tahoma" w:cs="Tahoma"/>
          <w:color w:val="000000"/>
        </w:rPr>
        <w:t>Заявление</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 перераспределении земельного участка или земельных участков</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Прошу перераспределить земельный участок (земельные участки):</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земельного участка или при отсутствии адреса земельного участка иное описание местоположения земельного участка)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площадью: ___________________________________________________________кв. 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(кадастровый номер земельного участка или кадастровые номера земельных участков, перераспределение которых планируется осуществить)</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расположенный(ые) по адресу:_________________________________________________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w:t>
      </w:r>
    </w:p>
    <w:tbl>
      <w:tblPr>
        <w:tblW w:w="7939" w:type="dxa"/>
        <w:tblCellSpacing w:w="0" w:type="dxa"/>
        <w:tblCellMar>
          <w:left w:w="0" w:type="dxa"/>
          <w:right w:w="0" w:type="dxa"/>
        </w:tblCellMar>
        <w:tblLook w:val="04A0"/>
      </w:tblPr>
      <w:tblGrid>
        <w:gridCol w:w="584"/>
        <w:gridCol w:w="5593"/>
        <w:gridCol w:w="833"/>
        <w:gridCol w:w="929"/>
      </w:tblGrid>
      <w:tr w:rsidR="00AD270D" w:rsidTr="00AD270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D270D" w:rsidRDefault="00AD270D">
            <w:pPr>
              <w:pStyle w:val="a6"/>
              <w:spacing w:before="0" w:beforeAutospacing="0" w:after="0" w:afterAutospacing="0"/>
              <w:jc w:val="both"/>
              <w:rPr>
                <w:sz w:val="15"/>
                <w:szCs w:val="15"/>
              </w:rPr>
            </w:pPr>
            <w:r>
              <w:rPr>
                <w:sz w:val="15"/>
                <w:szCs w:val="15"/>
              </w:rPr>
              <w:t>№ п/п</w:t>
            </w:r>
          </w:p>
        </w:tc>
        <w:tc>
          <w:tcPr>
            <w:tcW w:w="6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D270D" w:rsidRDefault="00AD270D">
            <w:pPr>
              <w:pStyle w:val="a6"/>
              <w:spacing w:before="0" w:beforeAutospacing="0" w:after="0" w:afterAutospacing="0"/>
              <w:jc w:val="both"/>
              <w:rPr>
                <w:sz w:val="15"/>
                <w:szCs w:val="15"/>
              </w:rPr>
            </w:pPr>
            <w:r>
              <w:rPr>
                <w:sz w:val="15"/>
                <w:szCs w:val="15"/>
              </w:rPr>
              <w:t>наименование документа</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D270D" w:rsidRDefault="00AD270D">
            <w:pPr>
              <w:pStyle w:val="a6"/>
              <w:spacing w:before="0" w:beforeAutospacing="0" w:after="0" w:afterAutospacing="0"/>
              <w:jc w:val="both"/>
              <w:rPr>
                <w:sz w:val="15"/>
                <w:szCs w:val="15"/>
              </w:rPr>
            </w:pPr>
            <w:r>
              <w:rPr>
                <w:sz w:val="15"/>
                <w:szCs w:val="15"/>
              </w:rPr>
              <w:t>Кол.экз.</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AD270D" w:rsidRDefault="00AD270D">
            <w:pPr>
              <w:pStyle w:val="a6"/>
              <w:spacing w:before="0" w:beforeAutospacing="0" w:after="0" w:afterAutospacing="0"/>
              <w:jc w:val="both"/>
              <w:rPr>
                <w:sz w:val="15"/>
                <w:szCs w:val="15"/>
              </w:rPr>
            </w:pPr>
            <w:r>
              <w:rPr>
                <w:sz w:val="15"/>
                <w:szCs w:val="15"/>
              </w:rPr>
              <w:t>Кол.листов</w:t>
            </w:r>
          </w:p>
        </w:tc>
      </w:tr>
      <w:tr w:rsidR="00AD270D" w:rsidTr="00AD270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1.</w:t>
            </w:r>
          </w:p>
        </w:tc>
        <w:tc>
          <w:tcPr>
            <w:tcW w:w="6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 </w:t>
            </w:r>
          </w:p>
        </w:tc>
      </w:tr>
      <w:tr w:rsidR="00AD270D" w:rsidTr="00AD270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2.</w:t>
            </w:r>
          </w:p>
        </w:tc>
        <w:tc>
          <w:tcPr>
            <w:tcW w:w="6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 </w:t>
            </w:r>
          </w:p>
        </w:tc>
      </w:tr>
      <w:tr w:rsidR="00AD270D" w:rsidTr="00AD270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3</w:t>
            </w:r>
          </w:p>
        </w:tc>
        <w:tc>
          <w:tcPr>
            <w:tcW w:w="6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Документ, подтверждающий полномочия представителя заявителя</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 </w:t>
            </w:r>
          </w:p>
        </w:tc>
      </w:tr>
      <w:tr w:rsidR="00AD270D" w:rsidTr="00AD270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4.</w:t>
            </w:r>
          </w:p>
        </w:tc>
        <w:tc>
          <w:tcPr>
            <w:tcW w:w="6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В случае, если с заявлением о предоставлении земельного участка обращается представитель заявителя:</w:t>
            </w:r>
          </w:p>
          <w:p w:rsidR="00AD270D" w:rsidRDefault="00AD270D">
            <w:pPr>
              <w:pStyle w:val="a6"/>
              <w:spacing w:before="0" w:beforeAutospacing="0" w:after="0" w:afterAutospacing="0"/>
              <w:jc w:val="both"/>
              <w:rPr>
                <w:sz w:val="15"/>
                <w:szCs w:val="15"/>
              </w:rPr>
            </w:pPr>
            <w:r>
              <w:rPr>
                <w:sz w:val="15"/>
                <w:szCs w:val="15"/>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D270D" w:rsidRDefault="00AD270D">
            <w:pPr>
              <w:pStyle w:val="a6"/>
              <w:spacing w:before="0" w:beforeAutospacing="0" w:after="0" w:afterAutospacing="0"/>
              <w:jc w:val="both"/>
              <w:rPr>
                <w:sz w:val="15"/>
                <w:szCs w:val="15"/>
              </w:rPr>
            </w:pPr>
            <w:r>
              <w:rPr>
                <w:sz w:val="15"/>
                <w:szCs w:val="15"/>
              </w:rPr>
              <w:t> </w:t>
            </w:r>
          </w:p>
        </w:tc>
      </w:tr>
    </w:tbl>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«_______»__________________20___г. _______________</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                             (подпись)</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w:t>
      </w:r>
      <w:r>
        <w:rPr>
          <w:rFonts w:ascii="Tahoma" w:hAnsi="Tahoma" w:cs="Tahoma"/>
          <w:color w:val="000000"/>
          <w:sz w:val="15"/>
          <w:szCs w:val="15"/>
        </w:rPr>
        <w:t>(фамилия, имя и (при наличии) отчество, место жительства заявителя, реквизиты документа, удостоверяющего личность заявителя (для гражданина);</w:t>
      </w:r>
    </w:p>
    <w:p w:rsidR="00AD270D" w:rsidRDefault="00AD270D" w:rsidP="00AD270D">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3B5B9B" w:rsidRPr="00AD270D" w:rsidRDefault="003B5B9B" w:rsidP="00AD270D"/>
    <w:sectPr w:rsidR="003B5B9B" w:rsidRPr="00AD270D"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abstractNum w:abstractNumId="2">
    <w:nsid w:val="41A51D92"/>
    <w:multiLevelType w:val="multilevel"/>
    <w:tmpl w:val="30BC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3B5B9B"/>
    <w:rsid w:val="00470594"/>
    <w:rsid w:val="00914951"/>
    <w:rsid w:val="00AD270D"/>
    <w:rsid w:val="00ED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2">
    <w:name w:val="heading 2"/>
    <w:basedOn w:val="a"/>
    <w:next w:val="a"/>
    <w:link w:val="20"/>
    <w:semiHidden/>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594"/>
    <w:rPr>
      <w:rFonts w:ascii="Times New Roman" w:eastAsia="Times New Roman" w:hAnsi="Times New Roman" w:cs="Times New Roman"/>
      <w:sz w:val="28"/>
      <w:szCs w:val="20"/>
    </w:rPr>
  </w:style>
  <w:style w:type="character" w:styleId="a3">
    <w:name w:val="Hyperlink"/>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s>
</file>

<file path=word/webSettings.xml><?xml version="1.0" encoding="utf-8"?>
<w:webSettings xmlns:r="http://schemas.openxmlformats.org/officeDocument/2006/relationships" xmlns:w="http://schemas.openxmlformats.org/wordprocessingml/2006/main">
  <w:divs>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4874.0" TargetMode="External"/><Relationship Id="rId3" Type="http://schemas.openxmlformats.org/officeDocument/2006/relationships/settings" Target="settings.xml"/><Relationship Id="rId7" Type="http://schemas.openxmlformats.org/officeDocument/2006/relationships/hyperlink" Target="consultantplus://offline/ref=9CA807A86FDA95D4B5B6C5AE2F0E14F0CBDF75AC7D197F90AE28E1629C384331D92067CC6C7FECC50BR5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http://www.vyazovoe.rkursk.ru/"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10889</Words>
  <Characters>62069</Characters>
  <Application>Microsoft Office Word</Application>
  <DocSecurity>0</DocSecurity>
  <Lines>517</Lines>
  <Paragraphs>145</Paragraphs>
  <ScaleCrop>false</ScaleCrop>
  <Company/>
  <LinksUpToDate>false</LinksUpToDate>
  <CharactersWithSpaces>72813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4</cp:revision>
  <dcterms:created xsi:type="dcterms:W3CDTF">2019-11-18T07:51:00Z</dcterms:created>
  <dcterms:modified xsi:type="dcterms:W3CDTF">2025-04-03T07:05:00Z</dcterms:modified>
</cp:coreProperties>
</file>