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8C4590">
        <w:rPr>
          <w:rFonts w:ascii="Times New Roman" w:hAnsi="Times New Roman" w:cs="Times New Roman"/>
        </w:rPr>
        <w:t>18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8C4590">
        <w:rPr>
          <w:rFonts w:ascii="Times New Roman" w:hAnsi="Times New Roman" w:cs="Times New Roman"/>
        </w:rPr>
        <w:t>2</w:t>
      </w:r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A92560">
        <w:rPr>
          <w:rFonts w:ascii="Times New Roman" w:hAnsi="Times New Roman" w:cs="Times New Roman"/>
        </w:rPr>
        <w:t xml:space="preserve">             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8C4590">
        <w:rPr>
          <w:rFonts w:ascii="Times New Roman" w:hAnsi="Times New Roman" w:cs="Times New Roman"/>
        </w:rPr>
        <w:t>11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«Озерский сельсовет» Шигровского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8C4590">
        <w:rPr>
          <w:rFonts w:ascii="Times New Roman" w:hAnsi="Times New Roman"/>
          <w:sz w:val="24"/>
          <w:szCs w:val="24"/>
        </w:rPr>
        <w:t>3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8C4590">
        <w:rPr>
          <w:rFonts w:ascii="Times New Roman" w:hAnsi="Times New Roman"/>
          <w:sz w:val="24"/>
          <w:szCs w:val="24"/>
        </w:rPr>
        <w:t>4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8C4590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«Озерский сельсовет» Шигровского района Курской области 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8C4590">
        <w:rPr>
          <w:rFonts w:ascii="Times New Roman" w:hAnsi="Times New Roman"/>
          <w:sz w:val="24"/>
          <w:szCs w:val="24"/>
        </w:rPr>
        <w:t>3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D624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C45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</w:t>
      </w:r>
      <w:r w:rsidR="008C3CCB">
        <w:rPr>
          <w:rFonts w:ascii="Times New Roman" w:hAnsi="Times New Roman"/>
          <w:sz w:val="24"/>
          <w:szCs w:val="24"/>
        </w:rPr>
        <w:t>ет в силу с 01.01.202</w:t>
      </w:r>
      <w:r w:rsidR="008C4590">
        <w:rPr>
          <w:rFonts w:ascii="Times New Roman" w:hAnsi="Times New Roman"/>
          <w:sz w:val="24"/>
          <w:szCs w:val="24"/>
        </w:rPr>
        <w:t>3</w:t>
      </w:r>
      <w:r w:rsidR="008C3CCB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E93C0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Ио.</w:t>
      </w:r>
      <w:r w:rsidR="00590F76">
        <w:rPr>
          <w:rFonts w:ascii="Times New Roman" w:hAnsi="Times New Roman" w:cs="Times New Roman"/>
        </w:rPr>
        <w:t xml:space="preserve"> </w:t>
      </w:r>
      <w:r w:rsidR="00590F76" w:rsidRPr="00590F76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590F76" w:rsidRPr="00590F76">
        <w:rPr>
          <w:rFonts w:ascii="Times New Roman" w:hAnsi="Times New Roman" w:cs="Times New Roman"/>
        </w:rPr>
        <w:t xml:space="preserve"> Озерского сельсовета                          </w:t>
      </w:r>
      <w:r w:rsidR="00590F76"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 w:rsidR="00590F76"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Малыхина Л.В.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Озерского сельсовета Щигровского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</w:t>
      </w:r>
      <w:r w:rsidR="008C4590">
        <w:rPr>
          <w:rFonts w:ascii="Times New Roman" w:hAnsi="Times New Roman" w:cs="Times New Roman"/>
          <w:sz w:val="22"/>
          <w:szCs w:val="22"/>
        </w:rPr>
        <w:t>11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от «</w:t>
      </w:r>
      <w:r w:rsidR="008C4590">
        <w:rPr>
          <w:rFonts w:ascii="Times New Roman" w:hAnsi="Times New Roman" w:cs="Times New Roman"/>
          <w:sz w:val="22"/>
          <w:szCs w:val="22"/>
        </w:rPr>
        <w:t>18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8C4590">
        <w:rPr>
          <w:rFonts w:ascii="Times New Roman" w:hAnsi="Times New Roman" w:cs="Times New Roman"/>
          <w:sz w:val="22"/>
          <w:szCs w:val="22"/>
        </w:rPr>
        <w:t>2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«Озерский сельсовет» Щигровского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8C4590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4590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C4590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«Озерский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 района Курской области на 202</w:t>
      </w:r>
      <w:r w:rsidR="008C45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C4590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C4590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>
        <w:rPr>
          <w:rFonts w:ascii="Times New Roman" w:hAnsi="Times New Roman" w:cs="Times New Roman"/>
          <w:b/>
        </w:rPr>
        <w:t>22</w:t>
      </w:r>
      <w:r w:rsidRPr="00590F7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7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9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Озерского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Основное мероприятие  0220100000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0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С1445  Выплата пенсий за выслугу лет и доплат к пенсиям муниципальных служащих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E93C06" w:rsidRPr="00590F76" w:rsidRDefault="00E93C0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1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  <w:b/>
        </w:rPr>
        <w:t>21</w:t>
      </w:r>
      <w:r w:rsidRPr="00590F76">
        <w:rPr>
          <w:rFonts w:ascii="Times New Roman" w:hAnsi="Times New Roman" w:cs="Times New Roman"/>
          <w:b/>
        </w:rPr>
        <w:t>-202</w:t>
      </w:r>
      <w:r w:rsidR="00635225">
        <w:rPr>
          <w:rFonts w:ascii="Times New Roman" w:hAnsi="Times New Roman" w:cs="Times New Roman"/>
          <w:b/>
        </w:rPr>
        <w:t>5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2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3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14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«Озерский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1.1.12. Муниципальная программа «Комплекс мер по профилактике правонарушений на территории Озерского сельсовета Щигровского</w:t>
      </w:r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>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>12 000 00000 Муниципальная программа 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b/>
          <w:snapToGrid w:val="0"/>
        </w:rPr>
        <w:t xml:space="preserve"> на 2023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8C4590">
        <w:rPr>
          <w:rFonts w:ascii="Times New Roman" w:hAnsi="Times New Roman" w:cs="Times New Roman"/>
          <w:b/>
          <w:snapToGrid w:val="0"/>
        </w:rPr>
        <w:t>7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>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8C4590">
        <w:rPr>
          <w:rFonts w:ascii="Times New Roman" w:hAnsi="Times New Roman" w:cs="Times New Roman"/>
          <w:snapToGrid w:val="0"/>
        </w:rPr>
        <w:t>7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8C4590">
        <w:rPr>
          <w:rFonts w:ascii="Times New Roman" w:hAnsi="Times New Roman" w:cs="Times New Roman"/>
          <w:snapToGrid w:val="0"/>
        </w:rPr>
        <w:t>7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snapToGrid w:val="0"/>
        </w:rPr>
        <w:t xml:space="preserve"> на 2023</w:t>
      </w:r>
      <w:r w:rsidR="00CE53E2">
        <w:rPr>
          <w:rFonts w:ascii="Times New Roman" w:hAnsi="Times New Roman" w:cs="Times New Roman"/>
          <w:snapToGrid w:val="0"/>
        </w:rPr>
        <w:t>-202</w:t>
      </w:r>
      <w:r w:rsidR="008C4590">
        <w:rPr>
          <w:rFonts w:ascii="Times New Roman" w:hAnsi="Times New Roman" w:cs="Times New Roman"/>
          <w:snapToGrid w:val="0"/>
        </w:rPr>
        <w:t>7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b/>
          <w:sz w:val="24"/>
          <w:szCs w:val="24"/>
        </w:rPr>
        <w:t>21</w:t>
      </w:r>
      <w:r w:rsidRPr="0034669E">
        <w:rPr>
          <w:rFonts w:ascii="Times New Roman" w:hAnsi="Times New Roman" w:cs="Times New Roman"/>
          <w:b/>
          <w:sz w:val="24"/>
          <w:szCs w:val="24"/>
        </w:rPr>
        <w:t>-202</w:t>
      </w:r>
      <w:r w:rsidR="00B622AA">
        <w:rPr>
          <w:rFonts w:ascii="Times New Roman" w:hAnsi="Times New Roman" w:cs="Times New Roman"/>
          <w:b/>
          <w:sz w:val="24"/>
          <w:szCs w:val="24"/>
        </w:rPr>
        <w:t>5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lastRenderedPageBreak/>
        <w:t>1.1.18.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b/>
          <w:snapToGrid w:val="0"/>
        </w:rPr>
        <w:t>21</w:t>
      </w:r>
      <w:r w:rsidRPr="00590F76">
        <w:rPr>
          <w:rFonts w:ascii="Times New Roman" w:hAnsi="Times New Roman" w:cs="Times New Roman"/>
          <w:b/>
          <w:snapToGrid w:val="0"/>
        </w:rPr>
        <w:t>-202</w:t>
      </w:r>
      <w:r w:rsidR="00B622AA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100 00000  подпрограмма  «Материально-техническое обеспечение  учреждений и формирование имиджа Озерского сельсовета Щигровского района  Курской области 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101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>ории Озерского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21 000 00000 Муниципальная 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21 100 00000 Подпрограмма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 w:rsidRPr="00590F76">
        <w:rPr>
          <w:rFonts w:ascii="Times New Roman" w:hAnsi="Times New Roman" w:cs="Times New Roman"/>
          <w:bCs/>
        </w:rPr>
        <w:lastRenderedPageBreak/>
        <w:t>С14</w:t>
      </w:r>
      <w:r w:rsidR="008538CD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EB256B" w:rsidRPr="000D75D3">
        <w:rPr>
          <w:rFonts w:ascii="Times New Roman" w:hAnsi="Times New Roman"/>
        </w:rPr>
        <w:t>Реализация мероприятий, направленных на</w:t>
      </w:r>
      <w:r w:rsidR="00EB256B">
        <w:rPr>
          <w:rFonts w:ascii="Times New Roman" w:hAnsi="Times New Roman"/>
        </w:rPr>
        <w:t xml:space="preserve"> </w:t>
      </w:r>
      <w:r w:rsidR="00EB256B" w:rsidRPr="000D75D3">
        <w:rPr>
          <w:rFonts w:ascii="Times New Roman" w:hAnsi="Times New Roman"/>
        </w:rPr>
        <w:t>противодействие терроризму и экстремизму</w:t>
      </w:r>
    </w:p>
    <w:p w:rsidR="00EB256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EB256B" w:rsidRDefault="00EB256B" w:rsidP="00EB256B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0646B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>71 1 00</w:t>
      </w:r>
      <w:r w:rsidR="00AD71CF">
        <w:rPr>
          <w:bCs/>
        </w:rPr>
        <w:t xml:space="preserve"> </w:t>
      </w:r>
      <w:r w:rsidRPr="00590F76">
        <w:rPr>
          <w:bCs/>
        </w:rPr>
        <w:t xml:space="preserve">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С1558 -  Мероприятия по  сбору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Целевые статьи </w:t>
      </w:r>
      <w:proofErr w:type="spellStart"/>
      <w:r w:rsidRPr="00590F76">
        <w:rPr>
          <w:bCs/>
        </w:rPr>
        <w:t>непрограммного</w:t>
      </w:r>
      <w:proofErr w:type="spellEnd"/>
      <w:r w:rsidRPr="00590F76">
        <w:rPr>
          <w:bCs/>
        </w:rPr>
        <w:t xml:space="preserve">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</w:t>
      </w:r>
      <w:r w:rsidR="004674DF" w:rsidRPr="00590F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4674DF" w:rsidRPr="00590F76">
        <w:rPr>
          <w:rFonts w:ascii="Times New Roman" w:hAnsi="Times New Roman" w:cs="Times New Roman"/>
        </w:rPr>
        <w:t xml:space="preserve">  00 00000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расходы  местных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Pr="0052067E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«Озерский сельсовет» Щигровского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«Озерский сельсовет» Щигровского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8C4590">
        <w:rPr>
          <w:rFonts w:ascii="Times New Roman" w:hAnsi="Times New Roman" w:cs="Times New Roman"/>
          <w:b/>
        </w:rPr>
        <w:t>3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8C4590">
        <w:rPr>
          <w:rFonts w:ascii="Times New Roman" w:hAnsi="Times New Roman" w:cs="Times New Roman"/>
          <w:b/>
        </w:rPr>
        <w:t>4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8C4590">
        <w:rPr>
          <w:rFonts w:ascii="Times New Roman" w:hAnsi="Times New Roman" w:cs="Times New Roman"/>
          <w:b/>
        </w:rPr>
        <w:t>5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Озерского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2022-2027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2022-2027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E5584C">
        <w:tc>
          <w:tcPr>
            <w:tcW w:w="1577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52067E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«Озерский сельсовет» 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52067E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муниципальной службы в муниципальном образовании «Озерский сельсовет» Щигровского района </w:t>
            </w:r>
            <w:r w:rsidRPr="00DC00F8">
              <w:rPr>
                <w:rFonts w:ascii="Times New Roman" w:hAnsi="Times New Roman" w:cs="Times New Roman"/>
                <w:b/>
              </w:rPr>
              <w:lastRenderedPageBreak/>
              <w:t>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Озерском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Озерском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«Материально-техническое обеспечение учреждений и формирование имиджа Озерского сельсовета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Материально-техническое обеспечение учреждений и формирование имиджа Озерского сельсовета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>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0D75D3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0D75D3" w:rsidP="000D75D3">
            <w:pPr>
              <w:pStyle w:val="a5"/>
              <w:rPr>
                <w:rFonts w:ascii="Times New Roman" w:hAnsi="Times New Roman"/>
              </w:rPr>
            </w:pPr>
            <w:r w:rsidRPr="000D75D3">
              <w:rPr>
                <w:rFonts w:ascii="Times New Roman" w:hAnsi="Times New Roman"/>
              </w:rPr>
              <w:t>Реализация мероприятий, направленных на</w:t>
            </w:r>
            <w:r>
              <w:rPr>
                <w:rFonts w:ascii="Times New Roman" w:hAnsi="Times New Roman"/>
              </w:rPr>
              <w:t xml:space="preserve"> </w:t>
            </w:r>
            <w:r w:rsidRPr="000D75D3">
              <w:rPr>
                <w:rFonts w:ascii="Times New Roman" w:hAnsi="Times New Roman"/>
              </w:rPr>
              <w:t>противодействие терроризму и экстремизму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E5584C">
        <w:tc>
          <w:tcPr>
            <w:tcW w:w="1577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E5584C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0F76"/>
    <w:rsid w:val="00061D16"/>
    <w:rsid w:val="00063E70"/>
    <w:rsid w:val="000646BB"/>
    <w:rsid w:val="000D75D3"/>
    <w:rsid w:val="000E09FA"/>
    <w:rsid w:val="000F2FEC"/>
    <w:rsid w:val="00133709"/>
    <w:rsid w:val="001A6E6B"/>
    <w:rsid w:val="00200A10"/>
    <w:rsid w:val="00263503"/>
    <w:rsid w:val="002D35B0"/>
    <w:rsid w:val="0034669E"/>
    <w:rsid w:val="003B7290"/>
    <w:rsid w:val="004674DF"/>
    <w:rsid w:val="00481B33"/>
    <w:rsid w:val="004D0067"/>
    <w:rsid w:val="004E175E"/>
    <w:rsid w:val="00510A98"/>
    <w:rsid w:val="0052067E"/>
    <w:rsid w:val="0053432D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D217C"/>
    <w:rsid w:val="006D3D87"/>
    <w:rsid w:val="00723962"/>
    <w:rsid w:val="007435F6"/>
    <w:rsid w:val="007A191D"/>
    <w:rsid w:val="00814C6B"/>
    <w:rsid w:val="0085022E"/>
    <w:rsid w:val="008538CD"/>
    <w:rsid w:val="008822B2"/>
    <w:rsid w:val="008B6B2B"/>
    <w:rsid w:val="008C1C99"/>
    <w:rsid w:val="008C3CCB"/>
    <w:rsid w:val="008C4590"/>
    <w:rsid w:val="008D3F3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C4C2D"/>
    <w:rsid w:val="00AD4CF5"/>
    <w:rsid w:val="00AD71CF"/>
    <w:rsid w:val="00B622AA"/>
    <w:rsid w:val="00CB43C8"/>
    <w:rsid w:val="00CE53E2"/>
    <w:rsid w:val="00D04642"/>
    <w:rsid w:val="00D22890"/>
    <w:rsid w:val="00D62437"/>
    <w:rsid w:val="00DA2152"/>
    <w:rsid w:val="00DC00F8"/>
    <w:rsid w:val="00E03333"/>
    <w:rsid w:val="00E46246"/>
    <w:rsid w:val="00E93C06"/>
    <w:rsid w:val="00EB256B"/>
    <w:rsid w:val="00F71F89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41EF-FEEA-4510-BF6C-61DE180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2019-11-11T11:31:00Z</cp:lastPrinted>
  <dcterms:created xsi:type="dcterms:W3CDTF">2018-10-29T12:16:00Z</dcterms:created>
  <dcterms:modified xsi:type="dcterms:W3CDTF">2022-10-18T12:44:00Z</dcterms:modified>
</cp:coreProperties>
</file>