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A" w:rsidRDefault="00A140BA" w:rsidP="00A140BA">
      <w:pPr>
        <w:shd w:val="clear" w:color="auto" w:fill="FFFFFF"/>
        <w:spacing w:after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br w:type="textWrapping" w:clear="all"/>
      </w:r>
    </w:p>
    <w:p w:rsidR="00A140BA" w:rsidRDefault="00A140BA" w:rsidP="00A140B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140BA" w:rsidRDefault="00A140BA" w:rsidP="00A140B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 СЕЛЬСОВЕТА</w:t>
      </w:r>
    </w:p>
    <w:p w:rsidR="00A140BA" w:rsidRDefault="00A140BA" w:rsidP="00A140B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A140BA" w:rsidRDefault="00A140BA" w:rsidP="00A140BA">
      <w:pPr>
        <w:spacing w:after="0"/>
        <w:jc w:val="center"/>
        <w:rPr>
          <w:sz w:val="40"/>
          <w:szCs w:val="40"/>
        </w:rPr>
      </w:pPr>
    </w:p>
    <w:p w:rsidR="00A140BA" w:rsidRDefault="00A140BA" w:rsidP="00A140BA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A140BA" w:rsidRDefault="00A140BA" w:rsidP="00A140BA">
      <w:pPr>
        <w:spacing w:after="0"/>
        <w:rPr>
          <w:b/>
          <w:sz w:val="32"/>
          <w:szCs w:val="32"/>
        </w:rPr>
      </w:pPr>
    </w:p>
    <w:p w:rsidR="00A140BA" w:rsidRDefault="00A140BA" w:rsidP="00A140B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«05» июня  2017 года № 3</w:t>
      </w:r>
      <w:r w:rsidR="001A3D44">
        <w:rPr>
          <w:sz w:val="28"/>
          <w:szCs w:val="28"/>
        </w:rPr>
        <w:t>9</w:t>
      </w:r>
    </w:p>
    <w:p w:rsidR="00A140BA" w:rsidRDefault="00A140BA" w:rsidP="00A140BA">
      <w:pPr>
        <w:spacing w:after="0"/>
        <w:jc w:val="both"/>
        <w:rPr>
          <w:b/>
          <w:sz w:val="28"/>
          <w:szCs w:val="28"/>
        </w:rPr>
      </w:pPr>
    </w:p>
    <w:p w:rsidR="00A140BA" w:rsidRDefault="00A140BA" w:rsidP="00A140B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перезакладке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</w:t>
      </w:r>
    </w:p>
    <w:p w:rsidR="00A140BA" w:rsidRDefault="00A140BA" w:rsidP="00A140BA">
      <w:pPr>
        <w:spacing w:after="0"/>
        <w:jc w:val="both"/>
        <w:rPr>
          <w:sz w:val="28"/>
          <w:szCs w:val="28"/>
        </w:rPr>
      </w:pP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сельского хозяйства Российской Федерации от 11.10.2010 №345 (в редакции, введенной в действие с 17.06.2015 г. приказом Минсельхоза России от 08.05.2015 г. №178)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связи с истечением пятилетнего периода 2012-2016 годов закладки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по Озерскому  сельсовету </w:t>
      </w:r>
      <w:proofErr w:type="spellStart"/>
      <w:r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  района, в целях сохранения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администрации, Администрация Озерского сельсовета постановляет:</w:t>
      </w: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 Утвердить Порядок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администрации Озерского сельсовета </w:t>
      </w: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</w:t>
      </w:r>
      <w:proofErr w:type="spellStart"/>
      <w:r>
        <w:rPr>
          <w:sz w:val="28"/>
          <w:szCs w:val="28"/>
        </w:rPr>
        <w:t>перезакладку</w:t>
      </w:r>
      <w:proofErr w:type="spellEnd"/>
      <w:r>
        <w:rPr>
          <w:sz w:val="28"/>
          <w:szCs w:val="28"/>
        </w:rPr>
        <w:t xml:space="preserve">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на период 2017 - 2021 годов согласно реестру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(приложение 1).</w:t>
      </w: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sub_4"/>
      <w:bookmarkEnd w:id="0"/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ведения и сохранность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Озерского сельсовета назначить  заместителя главы администрации Малыхину Л.В.</w:t>
      </w: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140BA" w:rsidRDefault="00A140BA" w:rsidP="00A140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Настоящее постановление вступает в силу со дня  обнародования</w:t>
      </w:r>
    </w:p>
    <w:p w:rsidR="00A140BA" w:rsidRDefault="00A140BA" w:rsidP="00A140BA">
      <w:pPr>
        <w:spacing w:after="0"/>
        <w:jc w:val="both"/>
        <w:rPr>
          <w:sz w:val="28"/>
          <w:szCs w:val="28"/>
        </w:rPr>
      </w:pPr>
    </w:p>
    <w:p w:rsidR="00A140BA" w:rsidRDefault="00A140BA" w:rsidP="00A140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 Озерского сельсовета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 А. Бартенев</w:t>
      </w:r>
    </w:p>
    <w:p w:rsidR="00A140BA" w:rsidRDefault="00A140BA" w:rsidP="00A140BA">
      <w:pPr>
        <w:spacing w:after="0"/>
        <w:jc w:val="both"/>
        <w:rPr>
          <w:sz w:val="28"/>
          <w:szCs w:val="28"/>
        </w:rPr>
      </w:pPr>
    </w:p>
    <w:p w:rsidR="00A140BA" w:rsidRDefault="00A140BA" w:rsidP="00A140BA">
      <w:pPr>
        <w:spacing w:after="0"/>
        <w:jc w:val="both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5A49F7" w:rsidRDefault="005A49F7" w:rsidP="00A140BA">
      <w:pPr>
        <w:spacing w:after="0"/>
        <w:ind w:left="4956"/>
        <w:jc w:val="right"/>
        <w:rPr>
          <w:sz w:val="28"/>
          <w:szCs w:val="28"/>
        </w:rPr>
      </w:pPr>
    </w:p>
    <w:p w:rsidR="00A140BA" w:rsidRDefault="00A140BA" w:rsidP="00A140BA">
      <w:pPr>
        <w:spacing w:after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140BA" w:rsidRDefault="00A140BA" w:rsidP="00A140BA">
      <w:pPr>
        <w:spacing w:after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140BA" w:rsidRDefault="00A140BA" w:rsidP="00A140BA">
      <w:pPr>
        <w:spacing w:after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Озерского сельсовета</w:t>
      </w:r>
    </w:p>
    <w:p w:rsidR="00A140BA" w:rsidRDefault="00A140BA" w:rsidP="00A140BA">
      <w:pPr>
        <w:spacing w:after="0"/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A140BA" w:rsidRDefault="00A140BA" w:rsidP="00A140BA">
      <w:pPr>
        <w:spacing w:after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05.06.2017 № 37</w:t>
      </w:r>
    </w:p>
    <w:p w:rsidR="00A140BA" w:rsidRDefault="00A140BA" w:rsidP="00A140BA">
      <w:pPr>
        <w:spacing w:after="0"/>
        <w:rPr>
          <w:sz w:val="28"/>
          <w:szCs w:val="28"/>
        </w:rPr>
      </w:pP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 в Озерском сельсовете 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Ведение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(далее - книг) в целях учета личных подсобных хозяйств Озерского сельсовета (далее - хозяйств) осуществляется администрацией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Курской области (далее – администрацией)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422"/>
      <w:bookmarkEnd w:id="1"/>
      <w:r>
        <w:rPr>
          <w:rFonts w:ascii="Times New Roman" w:hAnsi="Times New Roman"/>
          <w:sz w:val="28"/>
          <w:szCs w:val="28"/>
        </w:rPr>
        <w:t>2. Глава сельсовета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Ведение книг осуществляется на бумажных носителях.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28"/>
      <w:bookmarkEnd w:id="2"/>
      <w:r>
        <w:rPr>
          <w:rFonts w:ascii="Times New Roman" w:hAnsi="Times New Roman"/>
          <w:sz w:val="28"/>
          <w:szCs w:val="28"/>
        </w:rPr>
        <w:t>4. Книга ведется на листах формата A4 и состоит из титульного листа, необходимого количества листов 1, 2 по форме согласно приложению 1 к настоящему Порядку.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пятилетнего периода руководитель органа местного самоуправления издает правовой акт о </w:t>
      </w:r>
      <w:proofErr w:type="spellStart"/>
      <w:r>
        <w:rPr>
          <w:rFonts w:ascii="Times New Roman" w:hAnsi="Times New Roman"/>
          <w:sz w:val="28"/>
          <w:szCs w:val="28"/>
        </w:rPr>
        <w:t>перезакладке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Записи в книгу производятся должностными лицами, указанными в </w:t>
      </w:r>
      <w:r>
        <w:rPr>
          <w:rFonts w:ascii="Times New Roman" w:hAnsi="Times New Roman"/>
          <w:sz w:val="28"/>
          <w:szCs w:val="28"/>
        </w:rPr>
        <w:lastRenderedPageBreak/>
        <w:t>пункте 2 настоящего Порядка, на основании сведений, предоставляемых на добровольной основе членами хозяйств.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книги в администрации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/счет N 27), либо только номер лицевого счета, но включающий в себя номер книги (л/счет N 3-27).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В книгу записываются все хозяйства, находящиеся на территории Озерского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книге следует оставлять свободные листы для записи новых хозяйств.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>
        <w:rPr>
          <w:rFonts w:ascii="Times New Roman" w:hAnsi="Times New Roman"/>
          <w:sz w:val="28"/>
          <w:szCs w:val="28"/>
        </w:rPr>
        <w:t>отчество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и паспортные данные прежнего главы хозяйства зачеркиваются.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hyperlink r:id="rId5" w:anchor="P10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 в строке</w:t>
        </w:r>
      </w:hyperlink>
      <w:r>
        <w:rPr>
          <w:rFonts w:ascii="Times New Roman" w:hAnsi="Times New Roman"/>
          <w:sz w:val="28"/>
          <w:szCs w:val="28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rFonts w:ascii="Times New Roman" w:hAnsi="Times New Roman"/>
          <w:sz w:val="28"/>
          <w:szCs w:val="28"/>
        </w:rPr>
        <w:t>.", "</w:t>
      </w:r>
      <w:proofErr w:type="gramEnd"/>
      <w:r>
        <w:rPr>
          <w:rFonts w:ascii="Times New Roman" w:hAnsi="Times New Roman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В разделе I в </w:t>
      </w:r>
      <w:hyperlink r:id="rId6" w:anchor="P1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строке</w:t>
        </w:r>
      </w:hyperlink>
      <w:r>
        <w:rPr>
          <w:rFonts w:ascii="Times New Roman" w:hAnsi="Times New Roman"/>
          <w:sz w:val="28"/>
          <w:szCs w:val="28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Если члены хозяйства проживают в хозяйстве не постоянно, а временно или сезонно, в </w:t>
      </w:r>
      <w:hyperlink r:id="rId7" w:anchor="P9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эти сведения отражаются в строке "Отметка о проживании и ведении хозяйства".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hyperlink r:id="rId8" w:anchor="P9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 I</w:t>
        </w:r>
      </w:hyperlink>
      <w:r>
        <w:rPr>
          <w:rFonts w:ascii="Times New Roman" w:hAnsi="Times New Roman"/>
          <w:sz w:val="28"/>
          <w:szCs w:val="28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</w:t>
      </w:r>
      <w:r>
        <w:rPr>
          <w:rFonts w:ascii="Times New Roman" w:hAnsi="Times New Roman"/>
          <w:sz w:val="28"/>
          <w:szCs w:val="28"/>
        </w:rPr>
        <w:lastRenderedPageBreak/>
        <w:t>записи всех членов отводят два или более листов, указывая на каждом листе "Продолжение лицевого счета N __".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460"/>
      <w:bookmarkEnd w:id="3"/>
      <w:r>
        <w:rPr>
          <w:rFonts w:ascii="Times New Roman" w:hAnsi="Times New Roman"/>
          <w:sz w:val="28"/>
          <w:szCs w:val="28"/>
        </w:rPr>
        <w:t xml:space="preserve"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</w:t>
      </w:r>
      <w:proofErr w:type="gramStart"/>
      <w:r>
        <w:rPr>
          <w:rFonts w:ascii="Times New Roman" w:hAnsi="Times New Roman"/>
          <w:sz w:val="28"/>
          <w:szCs w:val="28"/>
        </w:rPr>
        <w:t>вклеен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Выбывающие члены хозяйства исключаются (вычеркиваются) из книги с указанием даты и причин выбытия.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В разделе II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A140BA" w:rsidRDefault="00A140BA" w:rsidP="00A140B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Приказа Минсельхоза России от 08.05.2015 N 178)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468"/>
      <w:bookmarkEnd w:id="4"/>
      <w:r>
        <w:rPr>
          <w:rFonts w:ascii="Times New Roman" w:hAnsi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r:id="rId9" w:anchor="P25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подразделе</w:t>
        </w:r>
      </w:hyperlink>
      <w:r>
        <w:rPr>
          <w:rFonts w:ascii="Times New Roman" w:hAnsi="Times New Roman"/>
          <w:sz w:val="28"/>
          <w:szCs w:val="28"/>
        </w:rP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следует вместе с названием животного указывать его возраст (например, </w:t>
      </w:r>
      <w:proofErr w:type="spellStart"/>
      <w:r>
        <w:rPr>
          <w:rFonts w:ascii="Times New Roman" w:hAnsi="Times New Roman"/>
          <w:sz w:val="28"/>
          <w:szCs w:val="28"/>
        </w:rPr>
        <w:t>осел</w:t>
      </w:r>
      <w:proofErr w:type="spellEnd"/>
      <w:r>
        <w:rPr>
          <w:rFonts w:ascii="Times New Roman" w:hAnsi="Times New Roman"/>
          <w:sz w:val="28"/>
          <w:szCs w:val="28"/>
        </w:rPr>
        <w:t xml:space="preserve"> - 4 </w:t>
      </w:r>
      <w:r>
        <w:rPr>
          <w:rFonts w:ascii="Times New Roman" w:hAnsi="Times New Roman"/>
          <w:sz w:val="28"/>
          <w:szCs w:val="28"/>
        </w:rPr>
        <w:lastRenderedPageBreak/>
        <w:t>года, верблюд - 6 лет и т.д.). Указывается также возраст лошадей и вид пушных зверей (норки, нутрии, песцы, лисицы и др.).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r:id="rId10" w:anchor="P46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21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1" w:anchor="P46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В </w:t>
      </w:r>
      <w:hyperlink r:id="rId12" w:anchor="P34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IV</w:t>
        </w:r>
      </w:hyperlink>
      <w:r>
        <w:rPr>
          <w:rFonts w:ascii="Times New Roman" w:hAnsi="Times New Roman"/>
          <w:sz w:val="28"/>
          <w:szCs w:val="28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право собственности или иные вещные права на указанную в </w:t>
      </w:r>
      <w:hyperlink r:id="rId13" w:anchor="P34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IV</w:t>
        </w:r>
      </w:hyperlink>
      <w:r>
        <w:rPr>
          <w:rFonts w:ascii="Times New Roman" w:hAnsi="Times New Roman"/>
          <w:sz w:val="28"/>
          <w:szCs w:val="28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r:id="rId14" w:anchor="P9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140BA" w:rsidRDefault="00A140BA" w:rsidP="00A140B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Приказа</w:t>
        </w:r>
      </w:hyperlink>
      <w:r>
        <w:rPr>
          <w:rFonts w:ascii="Times New Roman" w:hAnsi="Times New Roman"/>
          <w:sz w:val="28"/>
          <w:szCs w:val="28"/>
        </w:rPr>
        <w:t xml:space="preserve"> Минсельхоза России от 08.05.2015 N 178)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Самару".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приобретшие хозяйство, открывают новый лицевой счет в этой же книге.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закрытых лицевых счетов другим хозяйствам не присваивают.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</w:t>
      </w:r>
      <w:r>
        <w:rPr>
          <w:rFonts w:ascii="Times New Roman" w:hAnsi="Times New Roman"/>
          <w:sz w:val="28"/>
          <w:szCs w:val="28"/>
        </w:rPr>
        <w:lastRenderedPageBreak/>
        <w:t xml:space="preserve">прежнему хозяйству уточняются записи в книге по </w:t>
      </w:r>
      <w:hyperlink r:id="rId16" w:anchor="P9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разделам I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7" w:anchor="P34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IV</w:t>
        </w:r>
      </w:hyperlink>
      <w:r>
        <w:rPr>
          <w:rFonts w:ascii="Times New Roman" w:hAnsi="Times New Roman"/>
          <w:sz w:val="28"/>
          <w:szCs w:val="28"/>
        </w:rPr>
        <w:t xml:space="preserve"> книги, и в верхней части лицевых счетов делаются соответствующие пометки о разделе хозяйства.</w:t>
      </w:r>
    </w:p>
    <w:p w:rsidR="00A140BA" w:rsidRDefault="00A140BA" w:rsidP="00A140B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Приказа</w:t>
        </w:r>
      </w:hyperlink>
      <w:r>
        <w:rPr>
          <w:rFonts w:ascii="Times New Roman" w:hAnsi="Times New Roman"/>
          <w:sz w:val="28"/>
          <w:szCs w:val="28"/>
        </w:rPr>
        <w:t xml:space="preserve"> Минсельхоза России от 08.05.2015 N 178)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r:id="rId19" w:anchor="P4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Любой член хозяйства может просмотреть записи по лицевому счету только своего хозяйства.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или по </w:t>
      </w:r>
      <w:hyperlink r:id="rId2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r:id="rId21" w:anchor="P4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Порядка), и заверяются печатью органа местного самоуправления.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A140BA" w:rsidRDefault="00A140BA" w:rsidP="00A140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r:id="rId22" w:anchor="P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N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Приказу в разрезе поселений или округов.</w:t>
      </w:r>
    </w:p>
    <w:p w:rsidR="00A140BA" w:rsidRDefault="00A140BA" w:rsidP="00A140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A" w:rsidRDefault="00A140BA" w:rsidP="00A140BA">
      <w:pPr>
        <w:spacing w:after="0"/>
        <w:rPr>
          <w:sz w:val="28"/>
          <w:szCs w:val="28"/>
        </w:rPr>
        <w:sectPr w:rsidR="00A140BA">
          <w:pgSz w:w="11906" w:h="16838"/>
          <w:pgMar w:top="1134" w:right="1247" w:bottom="1134" w:left="1531" w:header="709" w:footer="709" w:gutter="0"/>
          <w:cols w:space="720"/>
        </w:sectPr>
      </w:pPr>
    </w:p>
    <w:p w:rsidR="00A140BA" w:rsidRDefault="00A140BA" w:rsidP="00A140BA">
      <w:pPr>
        <w:spacing w:after="0"/>
        <w:jc w:val="right"/>
        <w:rPr>
          <w:sz w:val="24"/>
          <w:szCs w:val="24"/>
        </w:rPr>
      </w:pPr>
      <w:r>
        <w:lastRenderedPageBreak/>
        <w:t xml:space="preserve">                        </w:t>
      </w:r>
    </w:p>
    <w:p w:rsidR="00A140BA" w:rsidRDefault="00A140BA" w:rsidP="00A140BA">
      <w:pPr>
        <w:autoSpaceDE w:val="0"/>
        <w:autoSpaceDN w:val="0"/>
        <w:adjustRightInd w:val="0"/>
        <w:spacing w:after="0"/>
        <w:ind w:left="566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A140BA" w:rsidRDefault="00A140BA" w:rsidP="00A140BA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Озерского сельсовета</w:t>
      </w:r>
    </w:p>
    <w:p w:rsidR="00A140BA" w:rsidRDefault="00A140BA" w:rsidP="00A140BA">
      <w:pPr>
        <w:autoSpaceDE w:val="0"/>
        <w:autoSpaceDN w:val="0"/>
        <w:adjustRightInd w:val="0"/>
        <w:spacing w:after="0"/>
        <w:ind w:left="482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A140BA" w:rsidRDefault="00A140BA" w:rsidP="00A140BA">
      <w:pPr>
        <w:autoSpaceDE w:val="0"/>
        <w:autoSpaceDN w:val="0"/>
        <w:adjustRightInd w:val="0"/>
        <w:spacing w:after="0"/>
        <w:ind w:left="566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05.06. 2017 г. №37</w:t>
      </w:r>
    </w:p>
    <w:p w:rsidR="00A140BA" w:rsidRDefault="00A140BA" w:rsidP="00A140BA">
      <w:pPr>
        <w:autoSpaceDE w:val="0"/>
        <w:autoSpaceDN w:val="0"/>
        <w:adjustRightInd w:val="0"/>
        <w:spacing w:after="0"/>
        <w:ind w:left="5664"/>
        <w:outlineLvl w:val="0"/>
        <w:rPr>
          <w:sz w:val="28"/>
          <w:szCs w:val="28"/>
        </w:rPr>
      </w:pP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 в администрации Озерского сельсовета 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  района Курской области</w:t>
      </w:r>
    </w:p>
    <w:p w:rsidR="00A140BA" w:rsidRDefault="00A140BA" w:rsidP="00A140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2017 - 2021 годов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17"/>
        <w:gridCol w:w="6171"/>
        <w:gridCol w:w="1617"/>
      </w:tblGrid>
      <w:tr w:rsidR="00A140BA" w:rsidTr="00A140BA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140BA" w:rsidRDefault="00A140BA" w:rsidP="00A140BA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книги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A140BA" w:rsidTr="00A140BA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873139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Плодовый  ул. Гагарина, ул. Солнечная, ул. Центральная, ул. Молодежная, </w:t>
            </w:r>
            <w:r w:rsidR="00873139">
              <w:rPr>
                <w:rFonts w:ascii="Times New Roman" w:hAnsi="Times New Roman" w:cs="Times New Roman"/>
                <w:sz w:val="28"/>
                <w:szCs w:val="28"/>
              </w:rPr>
              <w:t xml:space="preserve">ул. Цветочная,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="00873139">
              <w:rPr>
                <w:rFonts w:ascii="Times New Roman" w:hAnsi="Times New Roman" w:cs="Times New Roman"/>
                <w:sz w:val="28"/>
                <w:szCs w:val="28"/>
              </w:rPr>
              <w:t>Гагари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="0087313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3139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</w:tr>
      <w:tr w:rsidR="00873139" w:rsidTr="00A140BA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873139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873139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441EB4" w:rsidP="00873139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873139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0BA" w:rsidTr="00A140BA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Вязовое   ул. Центральная, ул. Мира, ул. Луговая, ул. Садовая, ул. Зеленая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A140BA" w:rsidTr="00A140BA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Вязовое  ул. Береговая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BA" w:rsidRDefault="00A140BA" w:rsidP="00A140BA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A140BA" w:rsidRDefault="00A140BA" w:rsidP="00A140BA">
      <w:pPr>
        <w:pStyle w:val="a4"/>
        <w:spacing w:before="0" w:beforeAutospacing="0" w:after="0" w:afterAutospacing="0"/>
      </w:pPr>
    </w:p>
    <w:p w:rsidR="00651484" w:rsidRDefault="00651484" w:rsidP="00A140BA">
      <w:pPr>
        <w:spacing w:after="0"/>
      </w:pPr>
    </w:p>
    <w:sectPr w:rsidR="00651484" w:rsidSect="00BA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0BA"/>
    <w:rsid w:val="001A3D44"/>
    <w:rsid w:val="003423C0"/>
    <w:rsid w:val="00441EB4"/>
    <w:rsid w:val="005A49F7"/>
    <w:rsid w:val="00651484"/>
    <w:rsid w:val="00735933"/>
    <w:rsid w:val="00873139"/>
    <w:rsid w:val="009C48A0"/>
    <w:rsid w:val="00A140BA"/>
    <w:rsid w:val="00BA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40BA"/>
    <w:rPr>
      <w:color w:val="0000FF"/>
      <w:u w:val="single"/>
    </w:rPr>
  </w:style>
  <w:style w:type="paragraph" w:styleId="a4">
    <w:name w:val="Normal (Web)"/>
    <w:basedOn w:val="a"/>
    <w:semiHidden/>
    <w:unhideWhenUsed/>
    <w:rsid w:val="00A1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40B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A14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3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8" Type="http://schemas.openxmlformats.org/officeDocument/2006/relationships/hyperlink" Target="consultantplus://offline/ref=F2F79F741F2401A98DBF8C6E6159C8101D54FFBBCF75BDFC3361729B9BCC83576CA2C4BB003D953EB4O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7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2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7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20" Type="http://schemas.openxmlformats.org/officeDocument/2006/relationships/hyperlink" Target="consultantplus://offline/ref=F2F79F741F2401A98DBF8C6E6159C8101D5EF6B8C674BDFC3361729B9BCC83576CA2C4BB003D953BB4O8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1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5" Type="http://schemas.openxmlformats.org/officeDocument/2006/relationships/hyperlink" Target="consultantplus://offline/ref=F2F79F741F2401A98DBF8C6E6159C8101D54FFBBCF75BDFC3361729B9BCC83576CA2C4BB003D953EB4OCG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9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4" Type="http://schemas.openxmlformats.org/officeDocument/2006/relationships/hyperlink" Target="garantf1://12080598.0/" TargetMode="External"/><Relationship Id="rId9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14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Relationship Id="rId22" Type="http://schemas.openxmlformats.org/officeDocument/2006/relationships/hyperlink" Target="file:///C:\Users\Admin\AppData\Local\Temp\&#1086;%20&#1087;&#1077;&#1088;&#1077;&#1079;&#1072;&#1082;&#1083;&#1072;&#1076;&#1082;&#1077;%20&#1087;&#1086;&#1093;.%20&#1082;&#1085;&#1080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2017-06-05T07:54:00Z</cp:lastPrinted>
  <dcterms:created xsi:type="dcterms:W3CDTF">2017-06-05T06:41:00Z</dcterms:created>
  <dcterms:modified xsi:type="dcterms:W3CDTF">2017-06-20T08:05:00Z</dcterms:modified>
</cp:coreProperties>
</file>